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362FCB8" w14:textId="77777777" w:rsid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  <w:r w:rsidRPr="00253232">
        <w:rPr>
          <w:rFonts w:asciiTheme="majorHAnsi" w:hAnsiTheme="majorHAnsi" w:cstheme="minorHAnsi"/>
          <w:b/>
          <w:sz w:val="20"/>
          <w:szCs w:val="20"/>
          <w:shd w:val="clear" w:color="auto" w:fill="FFFFFF"/>
        </w:rPr>
        <w:t>LICEUM OGÓLNOKSZTAŁCĄCE W WIELICZCE</w:t>
      </w:r>
      <w:r w:rsidRPr="0025323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Wieliczka, dnia 16 lipca 2021 r.</w:t>
      </w:r>
    </w:p>
    <w:p w14:paraId="2064CB70" w14:textId="77777777" w:rsid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hAnsiTheme="majorHAnsi" w:cstheme="minorHAnsi"/>
          <w:b/>
          <w:sz w:val="20"/>
          <w:szCs w:val="20"/>
          <w:shd w:val="clear" w:color="auto" w:fill="FFFFFF"/>
        </w:rPr>
        <w:t>I</w:t>
      </w:r>
      <w:r w:rsidRPr="00253232">
        <w:rPr>
          <w:rFonts w:asciiTheme="majorHAnsi" w:hAnsiTheme="majorHAnsi" w:cstheme="minorHAnsi"/>
          <w:b/>
          <w:sz w:val="20"/>
          <w:szCs w:val="20"/>
          <w:shd w:val="clear" w:color="auto" w:fill="FFFFFF"/>
        </w:rPr>
        <w:t>M. JANA MATEJKI</w:t>
      </w:r>
    </w:p>
    <w:p w14:paraId="6527E3B2" w14:textId="77777777" w:rsid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  <w:r w:rsidRPr="00253232">
        <w:rPr>
          <w:rFonts w:asciiTheme="majorHAnsi" w:hAnsiTheme="majorHAnsi" w:cstheme="minorHAnsi"/>
          <w:b/>
          <w:sz w:val="20"/>
          <w:szCs w:val="20"/>
          <w:shd w:val="clear" w:color="auto" w:fill="FFFFFF"/>
        </w:rPr>
        <w:t>UL. MARSZAŁKA JÓZEFA PIŁSUDSKIEGO 18</w:t>
      </w:r>
    </w:p>
    <w:p w14:paraId="0C486A2A" w14:textId="77777777" w:rsid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  <w:r w:rsidRPr="00253232">
        <w:rPr>
          <w:rFonts w:asciiTheme="majorHAnsi" w:hAnsiTheme="majorHAnsi" w:cstheme="minorHAnsi"/>
          <w:b/>
          <w:sz w:val="20"/>
          <w:szCs w:val="20"/>
          <w:shd w:val="clear" w:color="auto" w:fill="FFFFFF"/>
        </w:rPr>
        <w:t>32-020 WIELICZKA</w:t>
      </w:r>
    </w:p>
    <w:p w14:paraId="73C97F00" w14:textId="77777777" w:rsid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</w:p>
    <w:p w14:paraId="141A1D5C" w14:textId="77777777" w:rsid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</w:p>
    <w:p w14:paraId="462A13C2" w14:textId="0E27D70F" w:rsidR="00253232" w:rsidRPr="00253232" w:rsidRDefault="00253232" w:rsidP="0025323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  <w:r w:rsidRPr="00253232">
        <w:rPr>
          <w:rFonts w:asciiTheme="majorHAnsi" w:hAnsiTheme="majorHAnsi" w:cstheme="minorHAnsi"/>
          <w:b/>
          <w:bCs/>
          <w:color w:val="000000"/>
          <w:sz w:val="20"/>
          <w:szCs w:val="20"/>
        </w:rPr>
        <w:t>Nr sprawy LO 271-1/21</w:t>
      </w:r>
      <w:r w:rsidR="0051573F" w:rsidRPr="0051573F">
        <w:rPr>
          <w:rFonts w:ascii="ArialMT" w:hAnsi="ArialMT" w:cs="ArialMT"/>
          <w:sz w:val="15"/>
          <w:szCs w:val="15"/>
        </w:rPr>
        <w:t xml:space="preserve"> 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C3A658C" w14:textId="77777777" w:rsidR="00253232" w:rsidRDefault="0025323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14:paraId="0DDCDA01" w14:textId="77777777" w:rsidR="003F4428" w:rsidRPr="0090242F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443930D0" w14:textId="25E8D6CD" w:rsidR="00253232" w:rsidRPr="00253232" w:rsidRDefault="00E70424" w:rsidP="0025323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253232">
        <w:rPr>
          <w:rFonts w:asciiTheme="majorHAnsi" w:eastAsia="Calibri" w:hAnsiTheme="majorHAnsi" w:cs="Arial"/>
        </w:rPr>
        <w:t xml:space="preserve"> postepowania prowadzonego w trybie podstawowym bez negocjacji na </w:t>
      </w:r>
      <w:r w:rsidR="00253232">
        <w:rPr>
          <w:rFonts w:asciiTheme="majorHAnsi" w:eastAsia="Calibri" w:hAnsiTheme="majorHAnsi" w:cs="Arial"/>
          <w:b/>
          <w:color w:val="002060"/>
        </w:rPr>
        <w:t xml:space="preserve"> </w:t>
      </w:r>
      <w:r w:rsidR="00253232">
        <w:rPr>
          <w:rFonts w:asciiTheme="majorHAnsi" w:hAnsiTheme="majorHAnsi" w:cs="Arial"/>
          <w:b/>
        </w:rPr>
        <w:t>Kompleksową realizację</w:t>
      </w:r>
      <w:r w:rsidR="00253232" w:rsidRPr="00253232">
        <w:rPr>
          <w:rFonts w:asciiTheme="majorHAnsi" w:hAnsiTheme="majorHAnsi" w:cs="Arial"/>
          <w:b/>
        </w:rPr>
        <w:t xml:space="preserve"> w systemie ,,zaprojektuj i wybuduj’’ projektu pn. ,,Rozbudowa Liceum Ogólnokształcącego im. Jana Matejki o salę gimnastyczną z boiskiem sportowym wielofunkcyjnym na dachu, z zapleczem socjalnym, parkingiem podziemnym i zjazdem z drogi publicznej’’.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0374109B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</w:t>
      </w:r>
      <w:r w:rsidR="008A66D7">
        <w:rPr>
          <w:rFonts w:asciiTheme="majorHAnsi" w:eastAsia="Calibri" w:hAnsiTheme="majorHAnsi" w:cs="Arial"/>
        </w:rPr>
        <w:t>2</w:t>
      </w:r>
      <w:r w:rsidRPr="00E70424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 xml:space="preserve">rawo zamówień publicznych (Dz.U. </w:t>
      </w:r>
      <w:r>
        <w:rPr>
          <w:rFonts w:asciiTheme="majorHAnsi" w:eastAsia="Calibri" w:hAnsiTheme="majorHAnsi" w:cs="Arial"/>
        </w:rPr>
        <w:t>poz. 2019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>) – dalej</w:t>
      </w:r>
      <w:r w:rsidR="00D044F8">
        <w:rPr>
          <w:rFonts w:asciiTheme="majorHAnsi" w:eastAsia="Calibri" w:hAnsiTheme="majorHAnsi" w:cs="Arial"/>
        </w:rPr>
        <w:t>:</w:t>
      </w:r>
      <w:r w:rsidR="008A66D7">
        <w:rPr>
          <w:rFonts w:asciiTheme="majorHAnsi" w:eastAsia="Calibri" w:hAnsiTheme="majorHAnsi" w:cs="Arial"/>
        </w:rPr>
        <w:t xml:space="preserve"> ustawa </w:t>
      </w:r>
      <w:proofErr w:type="spellStart"/>
      <w:r w:rsidR="008A66D7">
        <w:rPr>
          <w:rFonts w:asciiTheme="majorHAnsi" w:eastAsia="Calibri" w:hAnsiTheme="majorHAnsi" w:cs="Arial"/>
        </w:rPr>
        <w:t>Pzp</w:t>
      </w:r>
      <w:proofErr w:type="spellEnd"/>
      <w:r w:rsidR="008A66D7"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</w:t>
      </w:r>
      <w:r w:rsidR="008A66D7">
        <w:rPr>
          <w:rFonts w:asciiTheme="majorHAnsi" w:eastAsia="Calibri" w:hAnsiTheme="majorHAnsi" w:cs="Arial"/>
        </w:rPr>
        <w:t>unieważnienia przedmiotowego postępowania</w:t>
      </w:r>
      <w:r>
        <w:rPr>
          <w:rFonts w:asciiTheme="majorHAnsi" w:eastAsia="Calibri" w:hAnsiTheme="majorHAnsi" w:cs="Arial"/>
        </w:rPr>
        <w:t xml:space="preserve">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0472F0F4" w14:textId="05BCCCF1" w:rsidR="00E70424" w:rsidRDefault="008A66D7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Art. 256</w:t>
      </w:r>
      <w:r w:rsidRPr="008A66D7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 xml:space="preserve">rawo zamówień publicznych (Dz.U. </w:t>
      </w:r>
      <w:r>
        <w:rPr>
          <w:rFonts w:asciiTheme="majorHAnsi" w:eastAsia="Calibri" w:hAnsiTheme="majorHAnsi" w:cs="Arial"/>
        </w:rPr>
        <w:t>poz. 2019 ze zm.)</w:t>
      </w:r>
    </w:p>
    <w:p w14:paraId="370EECC4" w14:textId="77777777" w:rsidR="008A66D7" w:rsidRPr="00D044F8" w:rsidRDefault="008A66D7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1E0FDCCC" w14:textId="1F911B83" w:rsidR="00E70424" w:rsidRPr="00D044F8" w:rsidRDefault="008A66D7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>Zamawiający unieważnia postepowanie o udzielenie zamówienia przed upływem terminu do składania ofert bowiem wystąpiły okoliczności powodujące, że dalsze prowadzenie postepowania jest nieuzasadnione.</w:t>
      </w:r>
      <w:r w:rsidR="00334E6F">
        <w:rPr>
          <w:rFonts w:asciiTheme="majorHAnsi" w:eastAsia="Calibri" w:hAnsiTheme="majorHAnsi" w:cs="Arial"/>
        </w:rPr>
        <w:t xml:space="preserve"> W toku przedmiotowego postępowania wpłynęła bardzo duża ilość zapytań dotycząca doprecyzowania przedmiotu zamówienia, Zamawiający dokonał szczegółowej analizy ich treści i stwierdził, że niemożliwym jest dookreślenie przedmiotu bez udziału podmiotów trzecich tj. np. zarządców sieci. Na skutek wniesionych zapytań ujawniła się również potrzeba przemodelowania zakresu zamówienia, a nawet pojawiły okoliczności uzasadniające wybór innego wariantu jego realizacji ( Zamawiający jest w trakcie realizacji dokumentacji architektonicznej i uzyskiwania pozwolenia na budowę).</w:t>
      </w: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77777777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 xml:space="preserve">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0" w:name="_GoBack"/>
      <w:bookmarkEnd w:id="0"/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2"/>
    <w:rsid w:val="00253232"/>
    <w:rsid w:val="00334E6F"/>
    <w:rsid w:val="003F4428"/>
    <w:rsid w:val="0051573F"/>
    <w:rsid w:val="00630C35"/>
    <w:rsid w:val="00671539"/>
    <w:rsid w:val="007127EA"/>
    <w:rsid w:val="008732F2"/>
    <w:rsid w:val="008A66D7"/>
    <w:rsid w:val="0090242F"/>
    <w:rsid w:val="00A232D2"/>
    <w:rsid w:val="00AD543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Użytkownik systemu Windows</cp:lastModifiedBy>
  <cp:revision>2</cp:revision>
  <dcterms:created xsi:type="dcterms:W3CDTF">2021-07-16T09:36:00Z</dcterms:created>
  <dcterms:modified xsi:type="dcterms:W3CDTF">2021-07-16T09:36:00Z</dcterms:modified>
</cp:coreProperties>
</file>